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Couleurs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5"/>
        <w:gridCol w:w="6180"/>
      </w:tblGrid>
      <w:tr>
        <w:trPr/>
        <w:tc>
          <w:tcPr>
            <w:tcW w:w="3465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2048510" cy="204851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0" w:type="dxa"/>
            <w:tcBorders/>
          </w:tcPr>
          <w:p>
            <w:pPr>
              <w:pStyle w:val="Normal"/>
              <w:spacing w:before="113" w:after="0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</w:rPr>
              <w:t>Inspirez vous d'une couleur (une seule) pour votre texte</w:t>
            </w:r>
          </w:p>
          <w:p>
            <w:pPr>
              <w:pStyle w:val="Normal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</w:rPr>
              <w:t>La couleur que vous avez choisie doit être au coeur de votre dramaturgie. Ce n'est pas un simple prétexte.</w:t>
            </w:r>
          </w:p>
          <w:p>
            <w:pPr>
              <w:pStyle w:val="Normal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</w:rPr>
              <w:t>Une même couleur peut être traitée par plusieurs auteurs.</w:t>
            </w:r>
          </w:p>
          <w:p>
            <w:pPr>
              <w:pStyle w:val="Normal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</w:rPr>
              <w:t>Le titre de votre texte doit contenir la couleur choisie.</w:t>
            </w:r>
          </w:p>
          <w:p>
            <w:pPr>
              <w:pStyle w:val="Normal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</w:rPr>
              <w:t>Dans ce contexte, on considère que le blanc et le noir sont des couleurs.</w:t>
            </w:r>
            <w:r>
              <w:rPr/>
              <w:t xml:space="preserve"> </w:t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/>
      </w:pPr>
      <w:r>
        <w:rPr/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Normal"/>
        <w:numPr>
          <w:ilvl w:val="0"/>
          <w:numId w:val="3"/>
        </w:numPr>
        <w:rPr/>
      </w:pPr>
      <w:r>
        <w:rPr/>
        <w:t>L'action se passe à la terrasse d'un café dans la rue un jour de grève.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" w:hAnsi="Arial"/>
          <w:color w:val="000000"/>
          <w:sz w:val="24"/>
          <w:szCs w:val="24"/>
        </w:rPr>
        <w:t xml:space="preserve">Texte </w:t>
      </w:r>
      <w:r>
        <w:rPr>
          <w:rFonts w:ascii="Arial" w:hAnsi="Arial"/>
          <w:color w:val="000000"/>
          <w:sz w:val="24"/>
          <w:szCs w:val="24"/>
          <w:u w:val="single"/>
        </w:rPr>
        <w:t>inédit</w:t>
      </w:r>
      <w:r>
        <w:rPr>
          <w:rFonts w:ascii="Arial" w:hAnsi="Arial"/>
          <w:color w:val="000000"/>
          <w:sz w:val="24"/>
          <w:szCs w:val="24"/>
        </w:rPr>
        <w:t xml:space="preserve"> écrit pour la circonsta</w:t>
      </w:r>
      <w:r>
        <w:rPr/>
        <w:t xml:space="preserve">nce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Couleurs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Couleurs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34548</TotalTime>
  <Application>LibreOffice/7.3.2.2$Windows_X86_64 LibreOffice_project/49f2b1bff42cfccbd8f788c8dc32c1c309559be0</Application>
  <AppVersion>15.0000</AppVersion>
  <Pages>2</Pages>
  <Words>262</Words>
  <Characters>1231</Characters>
  <CharactersWithSpaces>1442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2024-10-02T18:35:42Z</dcterms:modified>
  <cp:revision>38</cp:revision>
  <dc:subject/>
  <dc:title>Couleurs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